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Halušková</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Eva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doc. PhDr. Mgr. PhD.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https://www.portalvs.sk/regzam/?do=filterForm-submit&amp;name=Eva&amp;surname=Halu%C5%A1kov%C3%A1&amp;university=724000000&amp;sort=surname&amp;employment_state=yes&amp;filter</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Sociálna práca I., II. a III.  </w:t>
            </w:r>
            <w:r>
              <w:rPr>
                <w:rFonts w:eastAsia="Times New Roman" w:cs="Calibri"/>
                <w:i/>
                <w:iCs/>
                <w:color w:val="000000"/>
                <w:sz w:val="16"/>
                <w:szCs w:val="16"/>
                <w:lang w:eastAsia="sk-SK"/>
              </w:rPr>
              <w:t xml:space="preserve">. </w:t>
            </w:r>
            <w:r>
              <w:rPr>
                <w:rFonts w:eastAsia="Times New Roman" w:cs="Calibri"/>
                <w:color w:val="000000"/>
                <w:sz w:val="16"/>
                <w:szCs w:val="16"/>
                <w:lang w:eastAsia="sk-SK"/>
              </w:rPr>
              <w:t>stupeň/ Social Work  I . II.and III. degree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 xml:space="preserve">Vedecký výstup /Scientific output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2021</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val="en-US" w:eastAsia="sk-SK"/>
              </w:rPr>
              <w:t>ID: 133675</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rPr>
            </w:pPr>
            <w:hyperlink r:id="rId2">
              <w:r>
                <w:rPr>
                  <w:rStyle w:val="Internetovodkaz"/>
                  <w:sz w:val="16"/>
                  <w:szCs w:val="16"/>
                </w:rPr>
                <w:t>https://app.crepc.sk/?fn=detailBiblioFormChildURLP0&amp;sid=1F40ADFE68C0FD219F6419EA0B&amp;seo=CREP%C4%8C-detail-kniha</w:t>
              </w:r>
            </w:hyperlink>
          </w:p>
          <w:p>
            <w:pPr>
              <w:pStyle w:val="Normal"/>
              <w:widowControl w:val="false"/>
              <w:spacing w:lineRule="auto" w:line="240" w:before="0" w:after="0"/>
              <w:rPr>
                <w:sz w:val="16"/>
                <w:szCs w:val="16"/>
              </w:rPr>
            </w:pPr>
            <w:r>
              <w:rPr>
                <w:sz w:val="16"/>
                <w:szCs w:val="16"/>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jc w:val="both"/>
              <w:rPr>
                <w:sz w:val="16"/>
                <w:szCs w:val="16"/>
              </w:rPr>
            </w:pPr>
            <w:r>
              <w:rPr>
                <w:sz w:val="16"/>
                <w:szCs w:val="16"/>
              </w:rPr>
            </w:r>
          </w:p>
          <w:p>
            <w:pPr>
              <w:pStyle w:val="Normal"/>
              <w:widowControl w:val="false"/>
              <w:spacing w:before="0" w:after="160"/>
              <w:jc w:val="both"/>
              <w:rPr>
                <w:sz w:val="16"/>
                <w:szCs w:val="16"/>
              </w:rPr>
            </w:pPr>
            <w:r>
              <w:rPr>
                <w:sz w:val="16"/>
                <w:szCs w:val="16"/>
              </w:rPr>
              <w:t>HALUŠKOVÁ, E. 2016. Sociálna práca s absolventmi škôl ako znevýhodnenou skupinou na trhu práce. In Sociálna práca v praxi. Bratislava:  IRIS, 2016. s. 398. ISBN 9788089726585</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ABD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Vklad autora /authors contribution . (1 AH)  (7 % podiel)</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mentioned monograph aims to present topics that are fundamentally related to social work as a field in a comprehensive context. The publication is beneficial not only for academics, but also for students of social work and many other fields, including the lay public. It establishes social work in the contexts of individual subdisciplines presented in the chapters of the work. The complexity and comprehensiveness of the professional publication places this text among the most up-to-date and modern achievements of recent years, not only in Slovakia, but also in an international context.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val="en" w:eastAsia="sk-SK"/>
              </w:rPr>
              <w:t>The mentioned monograph aims to present topics that are fundamentally related to social work as a field in a comprehensive context. The publication is beneficial not only for academics, but also for students of social work and many other fields, including the lay public. It establishes social work in the contexts of individual subdisciplines presented in the chapters of the work. The complexity and comprehensiveness of the professional publication places this text among the most up-to-date and modern achievements of recent years, not only in Slovakia, but also in an international context.</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jc w:val="both"/>
              <w:rPr>
                <w:rFonts w:ascii="Trebuchet MS" w:hAnsi="Trebuchet MS" w:cs="Trebuchet MS"/>
                <w:color w:val="212529"/>
                <w:sz w:val="16"/>
                <w:szCs w:val="16"/>
                <w:shd w:fill="FFFFFF" w:val="clear"/>
                <w:lang w:eastAsia="sk-SK"/>
              </w:rPr>
            </w:pPr>
            <w:r>
              <w:rPr>
                <w:rFonts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jc w:val="both"/>
              <w:rPr>
                <w:rFonts w:eastAsia="Times New Roman" w:cs="Calibri" w:cstheme="minorHAnsi"/>
                <w:color w:val="000000"/>
                <w:sz w:val="16"/>
                <w:szCs w:val="16"/>
                <w:lang w:eastAsia="sk-SK"/>
              </w:rPr>
            </w:pPr>
            <w:r>
              <w:rPr>
                <w:rFonts w:eastAsia="Times New Roman" w:cs="Calibri"/>
                <w:sz w:val="16"/>
                <w:szCs w:val="16"/>
                <w:lang w:eastAsia="sk-SK"/>
              </w:rPr>
              <w:t xml:space="preserve">Význam pre štátnu správu, samosprávu, zariadenia sociálnych služieb, úrady práce sociálnych vecí a rodiny, sociálne poisťovne, zamestnávateľov, absolventov a aj pre pracoviska praxe. / </w:t>
            </w:r>
            <w:r>
              <w:rPr>
                <w:rFonts w:eastAsia="Times New Roman" w:cs="Calibri" w:cstheme="minorHAnsi"/>
                <w:color w:val="000000"/>
                <w:sz w:val="16"/>
                <w:szCs w:val="16"/>
                <w:lang w:eastAsia="sk-SK"/>
              </w:rPr>
              <w:t>Importance for state administration, self-government, social services facilities, offices of labour, social affairs and family, social insurance companies, employers, graduates and also for workplaces of practice.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06"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Uvedená monografia má snahu v ucelenom kontexte prezentovať témy, ktoré sa bytostne dotýkajú sociálnej práce ako odboru. Publikácia je prínosom nielen pre akademických pracovníkov, ale aj študentov sociálnej práce a mnoho iných odborov vrátane laickej verejnosti. Etabluje sociálnu prácu v kontextoch jednotlivých subdisciplín prezentovaných v samotných kapitolách práce. Komplexnosť a ucelenosť odbornej publikácie zaraďuje tento text medzi najaktuálnejšie a najmodernejšie počiny posledných rokov nielen na Slovensku, ale aj v medzinárodnom kontexte. </w:t>
            </w:r>
            <w:r>
              <w:rPr>
                <w:rFonts w:eastAsia="Times New Roman" w:cs="Calibri"/>
                <w:color w:val="000000"/>
                <w:sz w:val="16"/>
                <w:szCs w:val="16"/>
                <w:lang w:eastAsia="sk-SK"/>
              </w:rPr>
              <w:t>Obsah výstupu je možné aplikovať v predmetoch: Sociálna práca s nezamestnanými, Politika zamestnanosti, Úvod do sociálnej politiky. / This monograph seeks to present topics that fundamentally affect social work as a field in a comprehensive context. The publication benefits not only academics, but also students of social work and many other disciplines, including the general public. It establishes social work in the contexts of individual subdisciplines presented in the chapters of work themselves. The complexity and comprehensiveness of the professional publication ranks this text among the most recent and modern achievements of recent years not only in Slovakia, but also in an international context. The content of the output can be applied in the subjects: Social work with the unemployed, Employment policy, Introduction to social policy.</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1" w:name="_Hlk110257706"/>
            <w:bookmarkStart w:id="2" w:name="_Hlk110257706"/>
            <w:bookmarkEnd w:id="2"/>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Liberation Sans">
    <w:altName w:val="Arial"/>
    <w:charset w:val="ee"/>
    <w:family w:val="swiss"/>
    <w:pitch w:val="variable"/>
  </w:font>
  <w:font w:name="Times New Roman">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619c9"/>
    <w:pPr>
      <w:widowControl/>
      <w:bidi w:val="0"/>
      <w:spacing w:lineRule="auto" w:line="259" w:before="0" w:after="160"/>
      <w:jc w:val="left"/>
    </w:pPr>
    <w:rPr>
      <w:rFonts w:ascii="Calibri" w:hAnsi="Calibri" w:eastAsia="SimSun" w:cs="" w:asciiTheme="minorHAnsi" w:cstheme="minorBidi" w:hAnsiTheme="minorHAnsi"/>
      <w:color w:val="auto"/>
      <w:kern w:val="0"/>
      <w:sz w:val="22"/>
      <w:szCs w:val="22"/>
      <w:lang w:val="sk-SK" w:eastAsia="en-US" w:bidi="ar-SA"/>
    </w:rPr>
  </w:style>
  <w:style w:type="character" w:styleId="DefaultParagraphFont" w:default="1">
    <w:name w:val="Default Paragraph Font"/>
    <w:uiPriority w:val="1"/>
    <w:unhideWhenUsed/>
    <w:qFormat/>
    <w:rPr/>
  </w:style>
  <w:style w:type="character" w:styleId="TextpoznmkypodiarouChar" w:customStyle="1">
    <w:name w:val="Text poznámky pod čiarou Char"/>
    <w:basedOn w:val="DefaultParagraphFont"/>
    <w:link w:val="Textpoznmkypodiarou"/>
    <w:uiPriority w:val="99"/>
    <w:qFormat/>
    <w:rsid w:val="005619c9"/>
    <w:rPr>
      <w:sz w:val="20"/>
      <w:szCs w:val="20"/>
    </w:rPr>
  </w:style>
  <w:style w:type="character" w:styleId="PredformtovanHTMLChar" w:customStyle="1">
    <w:name w:val="Predformátované HTML Char"/>
    <w:basedOn w:val="DefaultParagraphFont"/>
    <w:link w:val="PredformtovanHTML"/>
    <w:uiPriority w:val="99"/>
    <w:semiHidden/>
    <w:qFormat/>
    <w:rsid w:val="005619c9"/>
    <w:rPr>
      <w:rFonts w:ascii="SimSun" w:hAnsi="SimSun" w:eastAsia="SimSun" w:cs="Times New Roman"/>
      <w:sz w:val="24"/>
      <w:szCs w:val="24"/>
      <w:lang w:val="en-US" w:eastAsia="zh-CN"/>
    </w:rPr>
  </w:style>
  <w:style w:type="character" w:styleId="Internetovodkaz">
    <w:name w:val="Internetový odkaz"/>
    <w:basedOn w:val="DefaultParagraphFont"/>
    <w:uiPriority w:val="99"/>
    <w:unhideWhenUsed/>
    <w:rsid w:val="005619c9"/>
    <w:rPr>
      <w:color w:val="0000FF"/>
      <w:u w:val="single"/>
    </w:rPr>
  </w:style>
  <w:style w:type="character" w:styleId="Nevyrieenzmienka1" w:customStyle="1">
    <w:name w:val="Nevyriešená zmienka1"/>
    <w:basedOn w:val="DefaultParagraphFont"/>
    <w:uiPriority w:val="99"/>
    <w:semiHidden/>
    <w:unhideWhenUsed/>
    <w:qFormat/>
    <w:rsid w:val="00877fda"/>
    <w:rPr>
      <w:color w:val="605E5C"/>
      <w:shd w:fill="E1DFDD" w:val="clear"/>
    </w:rPr>
  </w:style>
  <w:style w:type="character" w:styleId="UnresolvedMention">
    <w:name w:val="Unresolved Mention"/>
    <w:basedOn w:val="DefaultParagraphFont"/>
    <w:uiPriority w:val="99"/>
    <w:semiHidden/>
    <w:unhideWhenUsed/>
    <w:qFormat/>
    <w:rsid w:val="00bf5fb6"/>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5619c9"/>
    <w:pPr>
      <w:spacing w:lineRule="auto" w:line="240" w:before="0" w:after="0"/>
    </w:pPr>
    <w:rPr>
      <w:sz w:val="20"/>
      <w:szCs w:val="20"/>
    </w:rPr>
  </w:style>
  <w:style w:type="paragraph" w:styleId="HTMLPreformatted">
    <w:name w:val="HTML Preformatted"/>
    <w:link w:val="PredformtovanHTMLChar"/>
    <w:uiPriority w:val="99"/>
    <w:semiHidden/>
    <w:unhideWhenUsed/>
    <w:qFormat/>
    <w:rsid w:val="005619c9"/>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cs="Times New Roman" w:eastAsia="SimSun"/>
      <w:color w:val="auto"/>
      <w:kern w:val="0"/>
      <w:sz w:val="24"/>
      <w:szCs w:val="24"/>
      <w:lang w:val="en-US" w:eastAsia="zh-CN" w:bidi="ar-SA"/>
    </w:rPr>
  </w:style>
  <w:style w:type="paragraph" w:styleId="Normlny1" w:customStyle="1">
    <w:name w:val="Normálny1"/>
    <w:qFormat/>
    <w:rsid w:val="005619c9"/>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ListParagraph">
    <w:name w:val="List Paragraph"/>
    <w:basedOn w:val="Normal"/>
    <w:uiPriority w:val="34"/>
    <w:qFormat/>
    <w:rsid w:val="000f0efd"/>
    <w:pPr>
      <w:spacing w:before="0" w:after="160"/>
      <w:ind w:left="720" w:hanging="0"/>
      <w:contextualSpacing/>
    </w:pPr>
    <w:rPr/>
  </w:style>
  <w:style w:type="paragraph" w:styleId="Obsahtabuky">
    <w:name w:val="Obsah tabuľky"/>
    <w:basedOn w:val="Normal"/>
    <w:qFormat/>
    <w:pPr>
      <w:widowControl w:val="false"/>
      <w:suppressLineNumbers/>
    </w:pPr>
    <w:rPr/>
  </w:style>
  <w:style w:type="paragraph" w:styleId="Zhlavietabuky">
    <w:name w:val="Záhlavie tabuľky"/>
    <w:basedOn w:val="Obsahtabuky"/>
    <w:qFormat/>
    <w:pPr>
      <w:suppressLineNumbers/>
      <w:jc w:val="center"/>
    </w:pPr>
    <w:rPr>
      <w:b/>
      <w:bC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ChildURLP0&amp;sid=1F40ADFE68C0FD219F6419EA0B&amp;seo=CREP&#268;-detail-knih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LibreOffice/7.0.4.2$Windows_X86_64 LibreOffice_project/dcf040e67528d9187c66b2379df5ea4407429775</Application>
  <AppVersion>15.0000</AppVersion>
  <Pages>2</Pages>
  <Words>1139</Words>
  <Characters>6636</Characters>
  <CharactersWithSpaces>7753</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2024-02-12T10:13:00Z</dcterms:created>
  <dc:creator>Libusa Radkova</dc:creator>
  <dc:description/>
  <dc:language>sk-SK</dc:language>
  <cp:lastModifiedBy/>
  <dcterms:modified xsi:type="dcterms:W3CDTF">2024-02-12T22:41:16Z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